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6" w:rsidRPr="00A14416" w:rsidRDefault="008A1FB6" w:rsidP="0047049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A14416">
        <w:rPr>
          <w:rFonts w:ascii="標楷體" w:eastAsia="標楷體" w:cs="標楷體" w:hint="eastAsia"/>
          <w:kern w:val="0"/>
          <w:sz w:val="32"/>
          <w:szCs w:val="32"/>
        </w:rPr>
        <w:t>國立成功大學工學院研究優良教師遴選與獎勵辦法</w:t>
      </w:r>
    </w:p>
    <w:p w:rsidR="008A1FB6" w:rsidRPr="00A14416" w:rsidRDefault="008A1FB6" w:rsidP="008A1FB6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 w:rsidRPr="00A14416">
        <w:rPr>
          <w:rFonts w:ascii="標楷體" w:eastAsia="標楷體" w:cs="標楷體"/>
          <w:kern w:val="0"/>
          <w:sz w:val="20"/>
          <w:szCs w:val="20"/>
        </w:rPr>
        <w:t>89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Pr="00A14416">
        <w:rPr>
          <w:rFonts w:ascii="標楷體" w:eastAsia="標楷體" w:cs="標楷體"/>
          <w:kern w:val="0"/>
          <w:sz w:val="20"/>
          <w:szCs w:val="20"/>
        </w:rPr>
        <w:t>1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Pr="00A14416">
        <w:rPr>
          <w:rFonts w:ascii="標楷體" w:eastAsia="標楷體" w:cs="標楷體"/>
          <w:kern w:val="0"/>
          <w:sz w:val="20"/>
          <w:szCs w:val="20"/>
        </w:rPr>
        <w:t>20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日工學院第</w:t>
      </w:r>
      <w:r w:rsidRPr="00A14416">
        <w:rPr>
          <w:rFonts w:ascii="標楷體" w:eastAsia="標楷體" w:cs="標楷體"/>
          <w:kern w:val="0"/>
          <w:sz w:val="20"/>
          <w:szCs w:val="20"/>
        </w:rPr>
        <w:t>97</w:t>
      </w:r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次院</w:t>
      </w:r>
      <w:proofErr w:type="gramStart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務</w:t>
      </w:r>
      <w:proofErr w:type="gramEnd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會議</w:t>
      </w:r>
      <w:r w:rsidR="00F14F0E" w:rsidRPr="00A14416">
        <w:rPr>
          <w:rFonts w:ascii="標楷體" w:eastAsia="標楷體" w:cs="標楷體" w:hint="eastAsia"/>
          <w:kern w:val="0"/>
          <w:sz w:val="20"/>
          <w:szCs w:val="20"/>
        </w:rPr>
        <w:t>通過</w:t>
      </w:r>
    </w:p>
    <w:p w:rsidR="008A1FB6" w:rsidRPr="00A14416" w:rsidRDefault="008A1FB6" w:rsidP="008A1FB6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 w:rsidRPr="00A14416">
        <w:rPr>
          <w:rFonts w:ascii="標楷體" w:eastAsia="標楷體" w:cs="標楷體"/>
          <w:kern w:val="0"/>
          <w:sz w:val="20"/>
          <w:szCs w:val="20"/>
        </w:rPr>
        <w:t>91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Pr="00A14416">
        <w:rPr>
          <w:rFonts w:ascii="標楷體" w:eastAsia="標楷體" w:cs="標楷體"/>
          <w:kern w:val="0"/>
          <w:sz w:val="20"/>
          <w:szCs w:val="20"/>
        </w:rPr>
        <w:t>9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Pr="00A14416">
        <w:rPr>
          <w:rFonts w:ascii="標楷體" w:eastAsia="標楷體" w:cs="標楷體"/>
          <w:kern w:val="0"/>
          <w:sz w:val="20"/>
          <w:szCs w:val="20"/>
        </w:rPr>
        <w:t>11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日工學院第</w:t>
      </w:r>
      <w:r w:rsidRPr="00A14416">
        <w:rPr>
          <w:rFonts w:ascii="標楷體" w:eastAsia="標楷體" w:cs="標楷體"/>
          <w:kern w:val="0"/>
          <w:sz w:val="20"/>
          <w:szCs w:val="20"/>
        </w:rPr>
        <w:t>106</w:t>
      </w:r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次院</w:t>
      </w:r>
      <w:proofErr w:type="gramStart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務</w:t>
      </w:r>
      <w:proofErr w:type="gramEnd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會議修正</w:t>
      </w:r>
    </w:p>
    <w:p w:rsidR="008A1FB6" w:rsidRPr="00A14416" w:rsidRDefault="008A1FB6" w:rsidP="008A1FB6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 w:rsidRPr="00A14416">
        <w:rPr>
          <w:rFonts w:ascii="標楷體" w:eastAsia="標楷體" w:cs="標楷體"/>
          <w:kern w:val="0"/>
          <w:sz w:val="20"/>
          <w:szCs w:val="20"/>
        </w:rPr>
        <w:t>92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Pr="00A14416">
        <w:rPr>
          <w:rFonts w:ascii="標楷體" w:eastAsia="標楷體" w:cs="標楷體"/>
          <w:kern w:val="0"/>
          <w:sz w:val="20"/>
          <w:szCs w:val="20"/>
        </w:rPr>
        <w:t>6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Pr="00A14416">
        <w:rPr>
          <w:rFonts w:ascii="標楷體" w:eastAsia="標楷體" w:cs="標楷體"/>
          <w:kern w:val="0"/>
          <w:sz w:val="20"/>
          <w:szCs w:val="20"/>
        </w:rPr>
        <w:t>18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日工學院第</w:t>
      </w:r>
      <w:r w:rsidRPr="00A14416">
        <w:rPr>
          <w:rFonts w:ascii="標楷體" w:eastAsia="標楷體" w:cs="標楷體"/>
          <w:kern w:val="0"/>
          <w:sz w:val="20"/>
          <w:szCs w:val="20"/>
        </w:rPr>
        <w:t>110</w:t>
      </w:r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次院</w:t>
      </w:r>
      <w:proofErr w:type="gramStart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務</w:t>
      </w:r>
      <w:proofErr w:type="gramEnd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會議修正</w:t>
      </w:r>
    </w:p>
    <w:p w:rsidR="008A1FB6" w:rsidRPr="00A14416" w:rsidRDefault="008A1FB6" w:rsidP="008A1FB6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 w:rsidRPr="00A14416">
        <w:rPr>
          <w:rFonts w:ascii="標楷體" w:eastAsia="標楷體" w:cs="標楷體"/>
          <w:kern w:val="0"/>
          <w:sz w:val="20"/>
          <w:szCs w:val="20"/>
        </w:rPr>
        <w:t>93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Pr="00A14416">
        <w:rPr>
          <w:rFonts w:ascii="標楷體" w:eastAsia="標楷體" w:cs="標楷體"/>
          <w:kern w:val="0"/>
          <w:sz w:val="20"/>
          <w:szCs w:val="20"/>
        </w:rPr>
        <w:t>9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Pr="00A14416">
        <w:rPr>
          <w:rFonts w:ascii="標楷體" w:eastAsia="標楷體" w:cs="標楷體"/>
          <w:kern w:val="0"/>
          <w:sz w:val="20"/>
          <w:szCs w:val="20"/>
        </w:rPr>
        <w:t>21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日工學院第</w:t>
      </w:r>
      <w:r w:rsidRPr="00A14416">
        <w:rPr>
          <w:rFonts w:ascii="標楷體" w:eastAsia="標楷體" w:cs="標楷體"/>
          <w:kern w:val="0"/>
          <w:sz w:val="20"/>
          <w:szCs w:val="20"/>
        </w:rPr>
        <w:t>115</w:t>
      </w:r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次院</w:t>
      </w:r>
      <w:proofErr w:type="gramStart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務</w:t>
      </w:r>
      <w:proofErr w:type="gramEnd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會議修正</w:t>
      </w:r>
    </w:p>
    <w:p w:rsidR="008A1FB6" w:rsidRPr="00A14416" w:rsidRDefault="006A4808" w:rsidP="008A1FB6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 w:rsidRPr="00A14416">
        <w:rPr>
          <w:rFonts w:ascii="標楷體" w:eastAsia="標楷體" w:cs="標楷體" w:hint="eastAsia"/>
          <w:kern w:val="0"/>
          <w:sz w:val="20"/>
          <w:szCs w:val="20"/>
        </w:rPr>
        <w:t>104</w:t>
      </w:r>
      <w:r w:rsidR="008A1FB6" w:rsidRPr="00A14416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5</w:t>
      </w:r>
      <w:r w:rsidR="008A1FB6" w:rsidRPr="00A14416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28</w:t>
      </w:r>
      <w:r w:rsidR="008A1FB6" w:rsidRPr="00A14416">
        <w:rPr>
          <w:rFonts w:ascii="標楷體" w:eastAsia="標楷體" w:cs="標楷體" w:hint="eastAsia"/>
          <w:kern w:val="0"/>
          <w:sz w:val="20"/>
          <w:szCs w:val="20"/>
        </w:rPr>
        <w:t>日工學院第</w:t>
      </w:r>
      <w:r w:rsidRPr="00A14416">
        <w:rPr>
          <w:rFonts w:ascii="標楷體" w:eastAsia="標楷體" w:cs="標楷體" w:hint="eastAsia"/>
          <w:kern w:val="0"/>
          <w:sz w:val="20"/>
          <w:szCs w:val="20"/>
        </w:rPr>
        <w:t>152</w:t>
      </w:r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次院</w:t>
      </w:r>
      <w:proofErr w:type="gramStart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務</w:t>
      </w:r>
      <w:proofErr w:type="gramEnd"/>
      <w:r w:rsidR="003D2E10" w:rsidRPr="00A14416">
        <w:rPr>
          <w:rFonts w:ascii="標楷體" w:eastAsia="標楷體" w:cs="標楷體" w:hint="eastAsia"/>
          <w:kern w:val="0"/>
          <w:sz w:val="20"/>
          <w:szCs w:val="20"/>
        </w:rPr>
        <w:t>會議修正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第一條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為鼓勵工學院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以下簡稱本院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教師專心致力於研究，提高研究成果，特訂定本辦法。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第二條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研究優良教師係指在本院服務滿三年講師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含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以上之教師，潛心研究、指導學生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論文著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有成效，堪為表率者。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第三條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研究優良教師之遴選每學年舉辦一次，於每年三月底前由工學院通知各系所提出申請，於期限內將候選人姓名，連同推薦書與相關資料送院辦理，五月底前通知審查結果。</w:t>
      </w:r>
    </w:p>
    <w:p w:rsidR="008A1FB6" w:rsidRDefault="008A1FB6" w:rsidP="00470492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第四條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候選人應具備下列條件之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以三年內成果為限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：</w:t>
      </w:r>
    </w:p>
    <w:p w:rsidR="008A1FB6" w:rsidRDefault="008A1FB6" w:rsidP="00470492">
      <w:pPr>
        <w:autoSpaceDE w:val="0"/>
        <w:autoSpaceDN w:val="0"/>
        <w:adjustRightInd w:val="0"/>
        <w:spacing w:line="400" w:lineRule="exact"/>
        <w:ind w:leftChars="472" w:left="1841" w:hangingChars="253" w:hanging="708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cs="標楷體"/>
          <w:kern w:val="0"/>
          <w:sz w:val="28"/>
          <w:szCs w:val="28"/>
        </w:rPr>
        <w:t xml:space="preserve"> EI</w:t>
      </w:r>
      <w:r>
        <w:rPr>
          <w:rFonts w:ascii="標楷體" w:eastAsia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cs="標楷體"/>
          <w:kern w:val="0"/>
          <w:sz w:val="28"/>
          <w:szCs w:val="28"/>
        </w:rPr>
        <w:t>SCI</w:t>
      </w:r>
      <w:r>
        <w:rPr>
          <w:rFonts w:ascii="標楷體" w:eastAsia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cs="標楷體"/>
          <w:kern w:val="0"/>
          <w:sz w:val="28"/>
          <w:szCs w:val="28"/>
        </w:rPr>
        <w:t xml:space="preserve">SSCI </w:t>
      </w:r>
      <w:r>
        <w:rPr>
          <w:rFonts w:ascii="標楷體" w:eastAsia="標楷體" w:cs="標楷體" w:hint="eastAsia"/>
          <w:kern w:val="0"/>
          <w:sz w:val="28"/>
          <w:szCs w:val="28"/>
        </w:rPr>
        <w:t>或院教師評審委員會認定重要雜誌期刊發表論文，質量俱佳，成果豐碩者。</w:t>
      </w:r>
    </w:p>
    <w:p w:rsidR="008A1FB6" w:rsidRDefault="008A1FB6" w:rsidP="00470492">
      <w:pPr>
        <w:autoSpaceDE w:val="0"/>
        <w:autoSpaceDN w:val="0"/>
        <w:adjustRightInd w:val="0"/>
        <w:spacing w:line="400" w:lineRule="exact"/>
        <w:ind w:leftChars="472" w:left="1696" w:hangingChars="201" w:hanging="563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專利、專業作品質量俱佳者。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Chars="472" w:left="1696" w:hangingChars="201" w:hanging="563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其它特殊情況經評審委員會認可者。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="1131" w:hangingChars="404" w:hanging="113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第五條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研究優良教師之遴選，由各系所向本院推薦，每系所以不超過三名為原則，送院教師評審委員會決議。遴選會議須三分之二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含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以上委員出席始可開議，並須出席委員三分之二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含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以上同意，始可決議。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第六條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研究優良教師獎勵名額以三名並考慮各學門平衡為原則，當選教師頒發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獎牌乙面及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研究費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以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圖儀費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支付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二十萬元，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同時鐫名於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本院研究優良教師名錄，以資表揚。</w:t>
      </w:r>
    </w:p>
    <w:p w:rsidR="00A14416" w:rsidRDefault="00A14416" w:rsidP="00470492">
      <w:pPr>
        <w:autoSpaceDE w:val="0"/>
        <w:autoSpaceDN w:val="0"/>
        <w:adjustRightInd w:val="0"/>
        <w:spacing w:after="100" w:afterAutospacing="1" w:line="400" w:lineRule="exact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 w:rsidRPr="00A14416">
        <w:rPr>
          <w:rFonts w:ascii="標楷體" w:eastAsia="標楷體" w:cs="標楷體" w:hint="eastAsia"/>
          <w:kern w:val="0"/>
          <w:sz w:val="28"/>
          <w:szCs w:val="28"/>
        </w:rPr>
        <w:t xml:space="preserve">第七條 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當年度獲科技部</w:t>
      </w:r>
      <w:r w:rsidRPr="00A14416">
        <w:rPr>
          <w:rFonts w:ascii="標楷體" w:eastAsia="標楷體" w:cs="標楷體" w:hint="eastAsia"/>
          <w:kern w:val="0"/>
          <w:sz w:val="28"/>
          <w:szCs w:val="28"/>
        </w:rPr>
        <w:t>傑出研究獎、特約研究員、教育部學術獎或相當榮譽之獎項者，直接當選本院研究優良教師(不佔獎勵名額)。</w:t>
      </w:r>
    </w:p>
    <w:p w:rsidR="008A1FB6" w:rsidRDefault="008A1FB6" w:rsidP="00470492">
      <w:pPr>
        <w:autoSpaceDE w:val="0"/>
        <w:autoSpaceDN w:val="0"/>
        <w:adjustRightInd w:val="0"/>
        <w:spacing w:after="100" w:afterAutospacing="1"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第八條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獲本獎勵之教師以獲獎一次為限。</w:t>
      </w:r>
    </w:p>
    <w:p w:rsidR="008A1FB6" w:rsidRDefault="008A1FB6" w:rsidP="00470492">
      <w:pPr>
        <w:snapToGrid w:val="0"/>
        <w:spacing w:after="100" w:afterAutospacing="1"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第九條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A1441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本辦法經院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會議通過後實施，修正時亦同。</w:t>
      </w:r>
    </w:p>
    <w:p w:rsidR="003365BF" w:rsidRDefault="008B2F5A" w:rsidP="003365BF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B2F5A">
        <w:rPr>
          <w:rFonts w:ascii="標楷體" w:eastAsia="標楷體" w:hAnsi="標楷體" w:hint="eastAsia"/>
          <w:b/>
          <w:sz w:val="32"/>
          <w:szCs w:val="32"/>
        </w:rPr>
        <w:lastRenderedPageBreak/>
        <w:t>國立成功大學工學院研究優良教師遴選與獎勵辦法</w:t>
      </w:r>
      <w:bookmarkStart w:id="0" w:name="_GoBack"/>
      <w:bookmarkEnd w:id="0"/>
    </w:p>
    <w:p w:rsidR="003365BF" w:rsidRDefault="008B2F5A" w:rsidP="003365BF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第七</w:t>
      </w:r>
      <w:r w:rsidR="004213D9">
        <w:rPr>
          <w:rFonts w:ascii="標楷體" w:eastAsia="標楷體" w:hAnsi="標楷體" w:hint="eastAsia"/>
          <w:b/>
          <w:sz w:val="32"/>
          <w:szCs w:val="32"/>
        </w:rPr>
        <w:t>條</w:t>
      </w:r>
      <w:r w:rsidR="00B517E3">
        <w:rPr>
          <w:rFonts w:ascii="標楷體" w:eastAsia="標楷體" w:hAnsi="標楷體" w:hint="eastAsia"/>
          <w:b/>
          <w:sz w:val="32"/>
          <w:szCs w:val="32"/>
        </w:rPr>
        <w:t>修正</w:t>
      </w:r>
      <w:r w:rsidR="003365BF" w:rsidRPr="00782BE1">
        <w:rPr>
          <w:rFonts w:ascii="標楷體" w:eastAsia="標楷體" w:hAnsi="標楷體" w:hint="eastAsia"/>
          <w:b/>
          <w:sz w:val="32"/>
          <w:szCs w:val="32"/>
        </w:rPr>
        <w:t>對照表</w:t>
      </w:r>
      <w:r w:rsidR="003365B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365BF" w:rsidRPr="00F2340E" w:rsidRDefault="00F2340E" w:rsidP="00F2340E">
      <w:pPr>
        <w:snapToGrid w:val="0"/>
        <w:spacing w:line="300" w:lineRule="auto"/>
        <w:ind w:rightChars="-260" w:right="-624"/>
        <w:jc w:val="right"/>
        <w:rPr>
          <w:rFonts w:ascii="標楷體" w:eastAsia="標楷體" w:hAnsi="標楷體"/>
          <w:sz w:val="20"/>
          <w:szCs w:val="20"/>
        </w:rPr>
      </w:pPr>
      <w:r w:rsidRPr="00F2340E">
        <w:rPr>
          <w:rFonts w:ascii="標楷體" w:eastAsia="標楷體" w:hAnsi="標楷體" w:hint="eastAsia"/>
          <w:sz w:val="20"/>
          <w:szCs w:val="20"/>
        </w:rPr>
        <w:t>104年5月28日工學院第152次院</w:t>
      </w:r>
      <w:proofErr w:type="gramStart"/>
      <w:r w:rsidRPr="00F2340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2340E">
        <w:rPr>
          <w:rFonts w:ascii="標楷體" w:eastAsia="標楷體" w:hAnsi="標楷體" w:hint="eastAsia"/>
          <w:sz w:val="20"/>
          <w:szCs w:val="20"/>
        </w:rPr>
        <w:t>會議修正</w:t>
      </w:r>
    </w:p>
    <w:tbl>
      <w:tblPr>
        <w:tblW w:w="994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3316"/>
        <w:gridCol w:w="3316"/>
      </w:tblGrid>
      <w:tr w:rsidR="003365BF" w:rsidRPr="001B0FF9" w:rsidTr="004213D9">
        <w:tc>
          <w:tcPr>
            <w:tcW w:w="3316" w:type="dxa"/>
            <w:shd w:val="clear" w:color="auto" w:fill="auto"/>
          </w:tcPr>
          <w:p w:rsidR="003365BF" w:rsidRPr="001B0FF9" w:rsidRDefault="003365BF" w:rsidP="00193AE0">
            <w:pPr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 w:rsidRPr="001B0FF9">
              <w:rPr>
                <w:rFonts w:eastAsia="標楷體" w:hAnsi="標楷體"/>
              </w:rPr>
              <w:t>修正規定</w:t>
            </w:r>
          </w:p>
        </w:tc>
        <w:tc>
          <w:tcPr>
            <w:tcW w:w="3316" w:type="dxa"/>
            <w:shd w:val="clear" w:color="auto" w:fill="auto"/>
          </w:tcPr>
          <w:p w:rsidR="003365BF" w:rsidRPr="001B0FF9" w:rsidRDefault="003365BF" w:rsidP="00193AE0">
            <w:pPr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 w:rsidRPr="001B0FF9">
              <w:rPr>
                <w:rFonts w:eastAsia="標楷體" w:hAnsi="標楷體"/>
              </w:rPr>
              <w:t>現行規定</w:t>
            </w:r>
          </w:p>
        </w:tc>
        <w:tc>
          <w:tcPr>
            <w:tcW w:w="3316" w:type="dxa"/>
            <w:shd w:val="clear" w:color="auto" w:fill="auto"/>
          </w:tcPr>
          <w:p w:rsidR="003365BF" w:rsidRPr="001B0FF9" w:rsidRDefault="003365BF" w:rsidP="00193AE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1B0FF9">
              <w:rPr>
                <w:rFonts w:eastAsia="標楷體" w:hAnsi="標楷體"/>
              </w:rPr>
              <w:t>說明</w:t>
            </w:r>
          </w:p>
        </w:tc>
      </w:tr>
      <w:tr w:rsidR="001044CD" w:rsidRPr="001B0FF9" w:rsidTr="004213D9">
        <w:tc>
          <w:tcPr>
            <w:tcW w:w="3316" w:type="dxa"/>
            <w:shd w:val="clear" w:color="auto" w:fill="auto"/>
          </w:tcPr>
          <w:p w:rsidR="001044CD" w:rsidRDefault="008B2F5A" w:rsidP="008B2F5A">
            <w:pPr>
              <w:snapToGrid w:val="0"/>
              <w:spacing w:line="288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第七</w:t>
            </w:r>
            <w:r w:rsidR="001044CD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8B2F5A">
              <w:rPr>
                <w:rFonts w:ascii="標楷體" w:eastAsia="標楷體" w:hAnsi="標楷體" w:cs="DFKaiShu-SB-Estd-BF" w:hint="eastAsia"/>
                <w:kern w:val="0"/>
                <w:szCs w:val="24"/>
              </w:rPr>
              <w:t>當年度獲</w:t>
            </w:r>
            <w:r w:rsidRPr="007846F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科技部</w:t>
            </w:r>
            <w:r w:rsidRPr="008B2F5A">
              <w:rPr>
                <w:rFonts w:ascii="標楷體" w:eastAsia="標楷體" w:hAnsi="標楷體" w:cs="DFKaiShu-SB-Estd-BF" w:hint="eastAsia"/>
                <w:kern w:val="0"/>
                <w:szCs w:val="24"/>
              </w:rPr>
              <w:t>傑出研究獎、特約研究員、教育部學術獎或相當榮譽之獎項者，直接當選本院研究優良教師(不</w:t>
            </w:r>
            <w:proofErr w:type="gramStart"/>
            <w:r w:rsidRPr="008B2F5A">
              <w:rPr>
                <w:rFonts w:ascii="標楷體" w:eastAsia="標楷體" w:hAnsi="標楷體" w:cs="DFKaiShu-SB-Estd-BF" w:hint="eastAsia"/>
                <w:kern w:val="0"/>
                <w:szCs w:val="24"/>
              </w:rPr>
              <w:t>佔</w:t>
            </w:r>
            <w:proofErr w:type="gramEnd"/>
            <w:r w:rsidRPr="008B2F5A">
              <w:rPr>
                <w:rFonts w:ascii="標楷體" w:eastAsia="標楷體" w:hAnsi="標楷體" w:cs="DFKaiShu-SB-Estd-BF" w:hint="eastAsia"/>
                <w:kern w:val="0"/>
                <w:szCs w:val="24"/>
              </w:rPr>
              <w:t>獎勵名額)。</w:t>
            </w:r>
          </w:p>
        </w:tc>
        <w:tc>
          <w:tcPr>
            <w:tcW w:w="3316" w:type="dxa"/>
            <w:shd w:val="clear" w:color="auto" w:fill="auto"/>
          </w:tcPr>
          <w:p w:rsidR="001044CD" w:rsidRDefault="008B2F5A" w:rsidP="008B2F5A">
            <w:pPr>
              <w:snapToGrid w:val="0"/>
              <w:spacing w:line="288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第七</w:t>
            </w:r>
            <w:r w:rsidR="001044CD" w:rsidRPr="001044CD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8B2F5A">
              <w:rPr>
                <w:rFonts w:ascii="標楷體" w:eastAsia="標楷體" w:hAnsi="標楷體" w:cs="DFKaiShu-SB-Estd-BF" w:hint="eastAsia"/>
                <w:kern w:val="0"/>
                <w:szCs w:val="24"/>
              </w:rPr>
              <w:t>當年度獲國科會傑出研究獎、特約研究員、教育部學術獎或相當榮譽之獎項者，直接當選本院研究優良教師(不佔獎勵名額)。</w:t>
            </w:r>
          </w:p>
        </w:tc>
        <w:tc>
          <w:tcPr>
            <w:tcW w:w="3316" w:type="dxa"/>
            <w:shd w:val="clear" w:color="auto" w:fill="auto"/>
          </w:tcPr>
          <w:p w:rsidR="001044CD" w:rsidRPr="00B54D58" w:rsidRDefault="001044CD" w:rsidP="002D6224">
            <w:pPr>
              <w:pStyle w:val="ab"/>
              <w:snapToGrid w:val="0"/>
              <w:spacing w:line="288" w:lineRule="auto"/>
              <w:ind w:leftChars="0" w:left="3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依據</w:t>
            </w:r>
            <w:r w:rsidR="00B22ED5">
              <w:rPr>
                <w:rFonts w:eastAsia="標楷體" w:hAnsi="標楷體" w:hint="eastAsia"/>
              </w:rPr>
              <w:t>本校</w:t>
            </w:r>
            <w:r w:rsidR="00B22ED5">
              <w:rPr>
                <w:rFonts w:eastAsia="標楷體" w:hAnsi="標楷體" w:hint="eastAsia"/>
              </w:rPr>
              <w:t>104</w:t>
            </w:r>
            <w:r w:rsidR="00B22ED5">
              <w:rPr>
                <w:rFonts w:eastAsia="標楷體" w:hAnsi="標楷體" w:hint="eastAsia"/>
              </w:rPr>
              <w:t>年</w:t>
            </w:r>
            <w:r w:rsidR="00B22ED5">
              <w:rPr>
                <w:rFonts w:eastAsia="標楷體" w:hAnsi="標楷體" w:hint="eastAsia"/>
              </w:rPr>
              <w:t>5</w:t>
            </w:r>
            <w:r w:rsidR="00B22ED5">
              <w:rPr>
                <w:rFonts w:eastAsia="標楷體" w:hAnsi="標楷體" w:hint="eastAsia"/>
              </w:rPr>
              <w:t>月</w:t>
            </w:r>
            <w:r w:rsidR="00B22ED5">
              <w:rPr>
                <w:rFonts w:eastAsia="標楷體" w:hAnsi="標楷體" w:hint="eastAsia"/>
              </w:rPr>
              <w:t>13</w:t>
            </w:r>
            <w:r w:rsidR="00B22ED5">
              <w:rPr>
                <w:rFonts w:eastAsia="標楷體" w:hAnsi="標楷體" w:hint="eastAsia"/>
              </w:rPr>
              <w:t>日第</w:t>
            </w:r>
            <w:r w:rsidR="00B22ED5">
              <w:rPr>
                <w:rFonts w:eastAsia="標楷體" w:hAnsi="標楷體" w:hint="eastAsia"/>
              </w:rPr>
              <w:t>176</w:t>
            </w:r>
            <w:r w:rsidR="00B22ED5">
              <w:rPr>
                <w:rFonts w:eastAsia="標楷體" w:hAnsi="標楷體" w:hint="eastAsia"/>
              </w:rPr>
              <w:t>次行政會議提案第七案決議</w:t>
            </w:r>
            <w:r w:rsidR="00B22ED5">
              <w:rPr>
                <w:rFonts w:ascii="標楷體" w:eastAsia="標楷體" w:hAnsi="標楷體" w:hint="eastAsia"/>
              </w:rPr>
              <w:t>，</w:t>
            </w:r>
            <w:r w:rsidR="00B22ED5" w:rsidRPr="00B22ED5">
              <w:rPr>
                <w:rFonts w:ascii="標楷體" w:eastAsia="標楷體" w:hAnsi="標楷體" w:hint="eastAsia"/>
              </w:rPr>
              <w:t>因行政院國家科學委員會自103年3月3日起改制為科技部，本校行政規章相關條文配合組織名稱變更</w:t>
            </w:r>
            <w:r w:rsidR="002D6224" w:rsidRPr="002D6224">
              <w:rPr>
                <w:rFonts w:ascii="標楷體" w:eastAsia="標楷體" w:hAnsi="標楷體" w:hint="eastAsia"/>
              </w:rPr>
              <w:t>經各單位自行檢視後</w:t>
            </w:r>
            <w:proofErr w:type="gramStart"/>
            <w:r w:rsidR="002D6224" w:rsidRPr="002D6224">
              <w:rPr>
                <w:rFonts w:ascii="標楷體" w:eastAsia="標楷體" w:hAnsi="標楷體" w:hint="eastAsia"/>
              </w:rPr>
              <w:t>逕</w:t>
            </w:r>
            <w:proofErr w:type="gramEnd"/>
            <w:r w:rsidR="002D6224" w:rsidRPr="002D6224">
              <w:rPr>
                <w:rFonts w:ascii="標楷體" w:eastAsia="標楷體" w:hAnsi="標楷體" w:hint="eastAsia"/>
              </w:rPr>
              <w:t>予修正</w:t>
            </w:r>
            <w:r w:rsidR="00B22ED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365BF" w:rsidRPr="001274E6" w:rsidRDefault="003365BF" w:rsidP="003365BF">
      <w:pPr>
        <w:pStyle w:val="a7"/>
        <w:snapToGrid w:val="0"/>
        <w:spacing w:line="300" w:lineRule="auto"/>
      </w:pPr>
    </w:p>
    <w:p w:rsidR="003365BF" w:rsidRDefault="003365BF">
      <w:pPr>
        <w:widowControl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sectPr w:rsidR="003365BF" w:rsidSect="00F2340E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2" w:rsidRDefault="00EC0D82" w:rsidP="00630324">
      <w:r>
        <w:separator/>
      </w:r>
    </w:p>
  </w:endnote>
  <w:endnote w:type="continuationSeparator" w:id="0">
    <w:p w:rsidR="00EC0D82" w:rsidRDefault="00EC0D82" w:rsidP="006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2" w:rsidRDefault="00EC0D82" w:rsidP="00630324">
      <w:r>
        <w:separator/>
      </w:r>
    </w:p>
  </w:footnote>
  <w:footnote w:type="continuationSeparator" w:id="0">
    <w:p w:rsidR="00EC0D82" w:rsidRDefault="00EC0D82" w:rsidP="0063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505"/>
    <w:multiLevelType w:val="hybridMultilevel"/>
    <w:tmpl w:val="3F38D3CC"/>
    <w:lvl w:ilvl="0" w:tplc="A2007538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2"/>
    <w:rsid w:val="00015D0F"/>
    <w:rsid w:val="00027A8C"/>
    <w:rsid w:val="000B7D90"/>
    <w:rsid w:val="001044CD"/>
    <w:rsid w:val="00104BD9"/>
    <w:rsid w:val="00124F48"/>
    <w:rsid w:val="00135A84"/>
    <w:rsid w:val="00227D32"/>
    <w:rsid w:val="00230FA3"/>
    <w:rsid w:val="002D0CB0"/>
    <w:rsid w:val="002D2F73"/>
    <w:rsid w:val="002D6224"/>
    <w:rsid w:val="002E7E1B"/>
    <w:rsid w:val="003365BF"/>
    <w:rsid w:val="00386BC5"/>
    <w:rsid w:val="003A0051"/>
    <w:rsid w:val="003D2E10"/>
    <w:rsid w:val="003D35C1"/>
    <w:rsid w:val="00414672"/>
    <w:rsid w:val="004213D9"/>
    <w:rsid w:val="00451E1C"/>
    <w:rsid w:val="0045327A"/>
    <w:rsid w:val="00470492"/>
    <w:rsid w:val="00582402"/>
    <w:rsid w:val="00630324"/>
    <w:rsid w:val="00630BC7"/>
    <w:rsid w:val="006A4808"/>
    <w:rsid w:val="006B64C5"/>
    <w:rsid w:val="006E6E0F"/>
    <w:rsid w:val="007051FB"/>
    <w:rsid w:val="007846F8"/>
    <w:rsid w:val="007A4D4B"/>
    <w:rsid w:val="00850BED"/>
    <w:rsid w:val="008948AF"/>
    <w:rsid w:val="008A1FB6"/>
    <w:rsid w:val="008B2F5A"/>
    <w:rsid w:val="008E4D91"/>
    <w:rsid w:val="008E65E5"/>
    <w:rsid w:val="00932E63"/>
    <w:rsid w:val="009A4C5E"/>
    <w:rsid w:val="00A14416"/>
    <w:rsid w:val="00A5621F"/>
    <w:rsid w:val="00A6182A"/>
    <w:rsid w:val="00B16565"/>
    <w:rsid w:val="00B22ED5"/>
    <w:rsid w:val="00B23CAC"/>
    <w:rsid w:val="00B27344"/>
    <w:rsid w:val="00B36E70"/>
    <w:rsid w:val="00B40F02"/>
    <w:rsid w:val="00B517E3"/>
    <w:rsid w:val="00B54D58"/>
    <w:rsid w:val="00BD0237"/>
    <w:rsid w:val="00C75F93"/>
    <w:rsid w:val="00C87073"/>
    <w:rsid w:val="00CB03B5"/>
    <w:rsid w:val="00CB3519"/>
    <w:rsid w:val="00CE51A5"/>
    <w:rsid w:val="00D96DEC"/>
    <w:rsid w:val="00DE17AC"/>
    <w:rsid w:val="00E74C42"/>
    <w:rsid w:val="00EC0D82"/>
    <w:rsid w:val="00F14F0E"/>
    <w:rsid w:val="00F2340E"/>
    <w:rsid w:val="00F3263D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324"/>
    <w:rPr>
      <w:sz w:val="20"/>
      <w:szCs w:val="20"/>
    </w:rPr>
  </w:style>
  <w:style w:type="paragraph" w:styleId="a7">
    <w:name w:val="Body Text"/>
    <w:basedOn w:val="a"/>
    <w:link w:val="a8"/>
    <w:rsid w:val="009A4C5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9A4C5E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E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4D58"/>
    <w:pPr>
      <w:ind w:leftChars="200" w:left="480"/>
    </w:pPr>
  </w:style>
  <w:style w:type="table" w:styleId="ac">
    <w:name w:val="Table Grid"/>
    <w:basedOn w:val="a1"/>
    <w:uiPriority w:val="59"/>
    <w:rsid w:val="007A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324"/>
    <w:rPr>
      <w:sz w:val="20"/>
      <w:szCs w:val="20"/>
    </w:rPr>
  </w:style>
  <w:style w:type="paragraph" w:styleId="a7">
    <w:name w:val="Body Text"/>
    <w:basedOn w:val="a"/>
    <w:link w:val="a8"/>
    <w:rsid w:val="009A4C5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9A4C5E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E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4D58"/>
    <w:pPr>
      <w:ind w:leftChars="200" w:left="480"/>
    </w:pPr>
  </w:style>
  <w:style w:type="table" w:styleId="ac">
    <w:name w:val="Table Grid"/>
    <w:basedOn w:val="a1"/>
    <w:uiPriority w:val="59"/>
    <w:rsid w:val="007A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2015-03-17T05:50:00Z</cp:lastPrinted>
  <dcterms:created xsi:type="dcterms:W3CDTF">2015-05-29T08:58:00Z</dcterms:created>
  <dcterms:modified xsi:type="dcterms:W3CDTF">2015-06-02T07:31:00Z</dcterms:modified>
</cp:coreProperties>
</file>